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line="600" w:lineRule="exact"/>
        <w:textAlignment w:val="auto"/>
        <w:outlineLvl w:val="0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b/>
          <w:bCs/>
          <w:sz w:val="32"/>
          <w:szCs w:val="32"/>
        </w:rPr>
        <w:t>附件</w:t>
      </w:r>
      <w:r>
        <w:rPr>
          <w:rFonts w:hint="eastAsia" w:ascii="仿宋_GB2312" w:eastAsia="仿宋_GB2312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cs="宋体"/>
          <w:b/>
          <w:bCs/>
          <w:sz w:val="32"/>
          <w:szCs w:val="32"/>
        </w:rPr>
        <w:t>-1：</w:t>
      </w:r>
      <w:r>
        <w:rPr>
          <w:rFonts w:hint="eastAsia" w:ascii="仿宋_GB2312" w:eastAsia="仿宋_GB2312" w:cs="宋体"/>
          <w:b/>
          <w:bCs/>
          <w:sz w:val="32"/>
          <w:szCs w:val="32"/>
          <w:lang w:eastAsia="zh-CN"/>
        </w:rPr>
        <w:t>顺义区创业创新</w:t>
      </w:r>
      <w:r>
        <w:rPr>
          <w:rFonts w:ascii="仿宋_GB2312" w:eastAsia="仿宋_GB2312" w:cs="宋体"/>
          <w:b/>
          <w:bCs/>
          <w:sz w:val="32"/>
          <w:szCs w:val="32"/>
        </w:rPr>
        <w:t>公共服务</w:t>
      </w:r>
      <w:r>
        <w:rPr>
          <w:rFonts w:hint="eastAsia" w:ascii="仿宋_GB2312" w:eastAsia="仿宋_GB2312" w:cs="宋体"/>
          <w:b/>
          <w:bCs/>
          <w:sz w:val="32"/>
          <w:szCs w:val="32"/>
          <w:lang w:eastAsia="zh-CN"/>
        </w:rPr>
        <w:t>平台</w:t>
      </w:r>
      <w:r>
        <w:rPr>
          <w:rFonts w:hint="eastAsia" w:ascii="仿宋_GB2312" w:eastAsia="仿宋_GB2312" w:cs="宋体"/>
          <w:b/>
          <w:bCs/>
          <w:sz w:val="32"/>
          <w:szCs w:val="32"/>
        </w:rPr>
        <w:t>评价指标</w:t>
      </w:r>
    </w:p>
    <w:tbl>
      <w:tblPr>
        <w:tblStyle w:val="8"/>
        <w:tblW w:w="8339" w:type="dxa"/>
        <w:jc w:val="center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496"/>
        <w:gridCol w:w="2688"/>
        <w:gridCol w:w="603"/>
        <w:gridCol w:w="502"/>
        <w:gridCol w:w="502"/>
        <w:gridCol w:w="563"/>
        <w:gridCol w:w="625"/>
        <w:gridCol w:w="1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基本分值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满分分值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基本要求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满分要求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总体要求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基础条件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服务场地面积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低于基本要求不得分。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从业人员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本科及以上学历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人数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否定性指标。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中级及以上技术职称专业人员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</w:rPr>
              <w:t>人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低于基本要求不得分。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管理制度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否定性指标。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获得市级及以上政府有关部门授予的资质或荣誉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低于基本要求不得分。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财务指标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总资产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低于基本要求不得分。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营业收入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低于基本要求不得分。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服务功能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专业服务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否定性指标，两项须符合一项。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信息、投融资、技术创新、创业、培训、管理咨询、市场开拓、法律服务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服务数量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服务北京市企业数量</w:t>
            </w:r>
          </w:p>
        </w:tc>
        <w:tc>
          <w:tcPr>
            <w:tcW w:w="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家次/年</w:t>
            </w:r>
          </w:p>
        </w:tc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否定性指标，三项须符合一项。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服务顺义区企业数量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4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专业服务顺义区企业数量</w:t>
            </w:r>
          </w:p>
        </w:tc>
        <w:tc>
          <w:tcPr>
            <w:tcW w:w="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服务经认定的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创新创业型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企业数量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家次/年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否定性指标。（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专业服务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平台低于基本要求不得分）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服务效果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提供的公益性服务或低收费服务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家次/年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否定性指标。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服务满意度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%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否定性指标。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7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560" w:lineRule="exact"/>
      <w:jc w:val="center"/>
    </w:pPr>
    <w:rPr>
      <w:rFonts w:ascii="仿宋_GB2312"/>
      <w:b/>
      <w:bCs/>
      <w:sz w:val="44"/>
    </w:rPr>
  </w:style>
  <w:style w:type="paragraph" w:styleId="3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2021-05-28T03:18:53Z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