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600" w:lineRule="exact"/>
        <w:outlineLvl w:val="0"/>
        <w:rPr>
          <w:rFonts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附件</w:t>
      </w:r>
      <w:r>
        <w:rPr>
          <w:rFonts w:hint="eastAsia" w:ascii="仿宋_GB2312" w:eastAsia="仿宋_GB2312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b/>
          <w:bCs/>
          <w:sz w:val="32"/>
          <w:szCs w:val="32"/>
        </w:rPr>
        <w:t>-2：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顺义区创业创新基地</w:t>
      </w:r>
      <w:r>
        <w:rPr>
          <w:rFonts w:hint="eastAsia" w:ascii="仿宋_GB2312" w:eastAsia="仿宋_GB2312" w:cs="宋体"/>
          <w:b/>
          <w:bCs/>
          <w:sz w:val="32"/>
          <w:szCs w:val="32"/>
        </w:rPr>
        <w:t>评价指标</w:t>
      </w:r>
    </w:p>
    <w:tbl>
      <w:tblPr>
        <w:tblStyle w:val="5"/>
        <w:tblW w:w="8351" w:type="dxa"/>
        <w:tblInd w:w="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518"/>
        <w:gridCol w:w="2528"/>
        <w:gridCol w:w="450"/>
        <w:gridCol w:w="565"/>
        <w:gridCol w:w="496"/>
        <w:gridCol w:w="485"/>
        <w:gridCol w:w="555"/>
        <w:gridCol w:w="2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基本分值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满分分值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满分要求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基础条件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基地建筑面积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公共服务区域和配套设施的面积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为中小微企业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从业人员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合作服务机构数量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获得市级及以上政府有关部门授予的资质或荣誉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财务指标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服务功能和效果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创业辅导、技术创新、信息、投融资、人员培训、管理咨询、专项服务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否定性指标，且必须包含创业辅导、技术创新、信息服务中的2项。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为入驻企业提供的公益性服务数量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服务满意度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孵化效果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入驻注册地、纳税地均在顺义区的中型、小型、微型企业数量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入驻经认定的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创新创业型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上年度新增入驻企业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入驻企业上年度营业收入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入驻企业上年度实缴税金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上年度获得投融资企业数量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取三项中得分最高项，三项都不符合不得分。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入驻企业上年度获得知识产权数量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上年度获得市级高新技术企业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数量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jc w:val="center"/>
    </w:pPr>
    <w:rPr>
      <w:rFonts w:ascii="仿宋_GB2312"/>
      <w:b/>
      <w:bCs/>
      <w:sz w:val="44"/>
    </w:r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