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0"/>
        </w:tabs>
        <w:autoSpaceDE w:val="0"/>
        <w:autoSpaceDN w:val="0"/>
        <w:spacing w:line="560" w:lineRule="exact"/>
        <w:jc w:val="left"/>
        <w:rPr>
          <w:rFonts w:ascii="仿宋_GB2312" w:eastAsia="仿宋_GB2312"/>
          <w:sz w:val="32"/>
          <w:szCs w:val="32"/>
        </w:rPr>
      </w:pPr>
      <w:r>
        <w:rPr>
          <w:rFonts w:hint="eastAsia" w:ascii="仿宋_GB2312" w:eastAsia="仿宋_GB2312"/>
          <w:sz w:val="32"/>
          <w:szCs w:val="32"/>
        </w:rPr>
        <w:t>附件：</w:t>
      </w:r>
    </w:p>
    <w:p>
      <w:pPr>
        <w:tabs>
          <w:tab w:val="left" w:pos="4500"/>
        </w:tabs>
        <w:autoSpaceDE w:val="0"/>
        <w:autoSpaceDN w:val="0"/>
        <w:spacing w:line="560" w:lineRule="exact"/>
        <w:jc w:val="center"/>
        <w:rPr>
          <w:rFonts w:ascii="黑体" w:hAnsi="黑体" w:eastAsia="黑体"/>
          <w:sz w:val="36"/>
          <w:szCs w:val="36"/>
        </w:rPr>
      </w:pPr>
      <w:bookmarkStart w:id="4" w:name="_GoBack"/>
      <w:bookmarkStart w:id="0" w:name="_Hlk67491645"/>
      <w:bookmarkStart w:id="1" w:name="_Hlk67478753"/>
      <w:r>
        <w:rPr>
          <w:rFonts w:hint="eastAsia" w:ascii="黑体" w:hAnsi="黑体" w:eastAsia="黑体"/>
          <w:sz w:val="36"/>
          <w:szCs w:val="36"/>
        </w:rPr>
        <w:t>企业上一会计年度技术先进型服务业务收入及离岸服务外包业务收入明细表</w:t>
      </w:r>
      <w:bookmarkEnd w:id="0"/>
      <w:bookmarkEnd w:id="4"/>
    </w:p>
    <w:bookmarkEnd w:id="1"/>
    <w:p>
      <w:pPr>
        <w:spacing w:line="560" w:lineRule="exact"/>
        <w:jc w:val="center"/>
        <w:rPr>
          <w:rFonts w:ascii="Calibri" w:hAnsi="Calibri"/>
          <w:sz w:val="20"/>
        </w:rPr>
      </w:pPr>
    </w:p>
    <w:tbl>
      <w:tblPr>
        <w:tblStyle w:val="7"/>
        <w:tblW w:w="145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417"/>
        <w:gridCol w:w="3260"/>
        <w:gridCol w:w="311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合同名称</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业务类别</w:t>
            </w: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业务来源</w:t>
            </w: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实际取得的服务收入（万元）</w:t>
            </w: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r>
              <w:rPr>
                <w:rFonts w:hint="eastAsia" w:ascii="仿宋_GB2312" w:eastAsia="仿宋_GB2312"/>
                <w:b/>
                <w:sz w:val="24"/>
                <w:szCs w:val="24"/>
              </w:rPr>
              <w:t>经登记的合同执行额（万元）</w:t>
            </w: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b/>
                <w:sz w:val="24"/>
                <w:szCs w:val="24"/>
              </w:rPr>
            </w:pPr>
            <w:bookmarkStart w:id="2" w:name="_Hlk67491664"/>
            <w:r>
              <w:rPr>
                <w:rFonts w:hint="eastAsia" w:ascii="仿宋_GB2312" w:eastAsia="仿宋_GB2312"/>
                <w:b/>
                <w:sz w:val="24"/>
                <w:szCs w:val="24"/>
              </w:rPr>
              <w:t>经核定的技术性收入</w:t>
            </w:r>
            <w:bookmarkEnd w:id="2"/>
            <w:r>
              <w:rPr>
                <w:rFonts w:hint="eastAsia" w:ascii="仿宋_GB2312" w:eastAsia="仿宋_GB2312"/>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11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c>
          <w:tcPr>
            <w:tcW w:w="354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4"/>
                <w:szCs w:val="24"/>
              </w:rPr>
            </w:pPr>
          </w:p>
        </w:tc>
      </w:tr>
    </w:tbl>
    <w:p>
      <w:pPr>
        <w:spacing w:line="560" w:lineRule="exact"/>
        <w:rPr>
          <w:rFonts w:ascii="仿宋_GB2312" w:hAnsi="Calibri" w:eastAsia="仿宋_GB2312" w:cs="Times New Roman"/>
          <w:sz w:val="28"/>
          <w:szCs w:val="32"/>
        </w:rPr>
      </w:pPr>
      <w:r>
        <w:rPr>
          <w:rFonts w:hint="eastAsia" w:ascii="仿宋_GB2312" w:eastAsia="仿宋_GB2312"/>
          <w:sz w:val="28"/>
          <w:szCs w:val="32"/>
        </w:rPr>
        <w:t>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1.业务类别是指服务项目所属《北京市技术先进型服务企业认定管理办法（</w:t>
      </w:r>
      <w:r>
        <w:rPr>
          <w:rFonts w:ascii="仿宋_GB2312" w:eastAsia="仿宋_GB2312"/>
          <w:sz w:val="28"/>
          <w:szCs w:val="32"/>
        </w:rPr>
        <w:t>2019年修订）》（京科发〔2019〕6号）</w:t>
      </w:r>
      <w:r>
        <w:rPr>
          <w:rFonts w:hint="eastAsia" w:ascii="仿宋_GB2312" w:eastAsia="仿宋_GB2312"/>
          <w:sz w:val="28"/>
          <w:szCs w:val="32"/>
        </w:rPr>
        <w:t>中《技术先进型服务业务认定范围（试行）》的类别，分为信息技术外包服务（ITO）、技术性业务流程外包服务（BPO）、技术性知识流程外包服务（KPO）和服务贸易类服务。</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2.业务来源分为离岸和在岸。</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3.实际取得的服务收入以人民币计算，其中离岸服务外包业务收入应按银行结汇日汇率折算为人民币。</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4.经登记的合同执行额是指企业上一会计年度离岸服务外包业务合同在市商务局登记的执行额，以人民币计算。企业未登记的，按</w:t>
      </w:r>
      <w:r>
        <w:rPr>
          <w:rFonts w:ascii="仿宋_GB2312" w:eastAsia="仿宋_GB2312"/>
          <w:sz w:val="28"/>
          <w:szCs w:val="32"/>
        </w:rPr>
        <w:t>“</w:t>
      </w:r>
      <w:r>
        <w:rPr>
          <w:rFonts w:hint="eastAsia" w:ascii="仿宋_GB2312" w:eastAsia="仿宋_GB2312"/>
          <w:sz w:val="28"/>
          <w:szCs w:val="32"/>
        </w:rPr>
        <w:t>未登记</w:t>
      </w:r>
      <w:r>
        <w:rPr>
          <w:rFonts w:ascii="仿宋_GB2312" w:eastAsia="仿宋_GB2312"/>
          <w:sz w:val="28"/>
          <w:szCs w:val="32"/>
        </w:rPr>
        <w:t>”</w:t>
      </w:r>
      <w:r>
        <w:rPr>
          <w:rFonts w:hint="eastAsia" w:ascii="仿宋_GB2312" w:eastAsia="仿宋_GB2312"/>
          <w:sz w:val="28"/>
          <w:szCs w:val="32"/>
        </w:rPr>
        <w:t>填写。</w:t>
      </w:r>
    </w:p>
    <w:p>
      <w:pPr>
        <w:spacing w:line="560" w:lineRule="exact"/>
        <w:ind w:firstLine="560" w:firstLineChars="200"/>
        <w:rPr>
          <w:rFonts w:ascii="仿宋" w:hAnsi="仿宋" w:eastAsia="仿宋"/>
          <w:sz w:val="32"/>
          <w:szCs w:val="32"/>
        </w:rPr>
      </w:pPr>
      <w:r>
        <w:rPr>
          <w:rFonts w:hint="eastAsia" w:ascii="仿宋_GB2312" w:eastAsia="仿宋_GB2312"/>
          <w:kern w:val="0"/>
          <w:sz w:val="28"/>
          <w:szCs w:val="32"/>
        </w:rPr>
        <w:t>5.经核定的技术性收入是指</w:t>
      </w:r>
      <w:bookmarkStart w:id="3" w:name="_Hlk67491927"/>
      <w:r>
        <w:rPr>
          <w:rFonts w:hint="eastAsia" w:ascii="仿宋_GB2312" w:eastAsia="仿宋_GB2312"/>
          <w:kern w:val="0"/>
          <w:sz w:val="28"/>
          <w:szCs w:val="32"/>
        </w:rPr>
        <w:t>企业技术先进型服务业务合同在市科委技术市场管理部门进行技术合同认定登记并核定的技术性收入</w:t>
      </w:r>
      <w:bookmarkEnd w:id="3"/>
      <w:r>
        <w:rPr>
          <w:rFonts w:hint="eastAsia" w:ascii="仿宋_GB2312" w:eastAsia="仿宋_GB2312"/>
          <w:kern w:val="0"/>
          <w:sz w:val="28"/>
          <w:szCs w:val="32"/>
        </w:rPr>
        <w:t>，以人民币计算。企业未登记的，按</w:t>
      </w:r>
      <w:r>
        <w:rPr>
          <w:rFonts w:ascii="仿宋_GB2312" w:eastAsia="仿宋_GB2312"/>
          <w:kern w:val="0"/>
          <w:sz w:val="28"/>
          <w:szCs w:val="32"/>
        </w:rPr>
        <w:t>“</w:t>
      </w:r>
      <w:r>
        <w:rPr>
          <w:rFonts w:hint="eastAsia" w:ascii="仿宋_GB2312" w:eastAsia="仿宋_GB2312"/>
          <w:kern w:val="0"/>
          <w:sz w:val="28"/>
          <w:szCs w:val="32"/>
        </w:rPr>
        <w:t>未登记</w:t>
      </w:r>
      <w:r>
        <w:rPr>
          <w:rFonts w:ascii="仿宋_GB2312" w:eastAsia="仿宋_GB2312"/>
          <w:kern w:val="0"/>
          <w:sz w:val="28"/>
          <w:szCs w:val="32"/>
        </w:rPr>
        <w:t>”</w:t>
      </w:r>
      <w:r>
        <w:rPr>
          <w:rFonts w:hint="eastAsia" w:ascii="仿宋_GB2312" w:eastAsia="仿宋_GB2312"/>
          <w:kern w:val="0"/>
          <w:sz w:val="28"/>
          <w:szCs w:val="32"/>
        </w:rPr>
        <w:t>填写，已登记但未核定的，按</w:t>
      </w:r>
      <w:r>
        <w:rPr>
          <w:rFonts w:ascii="仿宋_GB2312" w:eastAsia="仿宋_GB2312"/>
          <w:kern w:val="0"/>
          <w:sz w:val="28"/>
          <w:szCs w:val="32"/>
        </w:rPr>
        <w:t>“</w:t>
      </w:r>
      <w:r>
        <w:rPr>
          <w:rFonts w:hint="eastAsia" w:ascii="仿宋_GB2312" w:eastAsia="仿宋_GB2312"/>
          <w:kern w:val="0"/>
          <w:sz w:val="28"/>
          <w:szCs w:val="32"/>
        </w:rPr>
        <w:t>未核定</w:t>
      </w:r>
      <w:r>
        <w:rPr>
          <w:rFonts w:ascii="仿宋_GB2312" w:eastAsia="仿宋_GB2312"/>
          <w:kern w:val="0"/>
          <w:sz w:val="28"/>
          <w:szCs w:val="32"/>
        </w:rPr>
        <w:t>”</w:t>
      </w:r>
      <w:r>
        <w:rPr>
          <w:rFonts w:hint="eastAsia" w:ascii="仿宋_GB2312" w:eastAsia="仿宋_GB2312"/>
          <w:kern w:val="0"/>
          <w:sz w:val="28"/>
          <w:szCs w:val="32"/>
        </w:rPr>
        <w:t>填写。</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0000000000000000000"/>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AC"/>
    <w:rsid w:val="0003160F"/>
    <w:rsid w:val="00045156"/>
    <w:rsid w:val="000B47BE"/>
    <w:rsid w:val="001321C2"/>
    <w:rsid w:val="001332D5"/>
    <w:rsid w:val="001343C5"/>
    <w:rsid w:val="00186038"/>
    <w:rsid w:val="00197E89"/>
    <w:rsid w:val="001A4B08"/>
    <w:rsid w:val="001B140F"/>
    <w:rsid w:val="001F7617"/>
    <w:rsid w:val="0025074F"/>
    <w:rsid w:val="00294720"/>
    <w:rsid w:val="002B4BAC"/>
    <w:rsid w:val="002E4AB3"/>
    <w:rsid w:val="003349D5"/>
    <w:rsid w:val="00336337"/>
    <w:rsid w:val="0037237A"/>
    <w:rsid w:val="003A60E5"/>
    <w:rsid w:val="003B394C"/>
    <w:rsid w:val="003B4E1F"/>
    <w:rsid w:val="0049352C"/>
    <w:rsid w:val="005B4A28"/>
    <w:rsid w:val="0063275D"/>
    <w:rsid w:val="006932ED"/>
    <w:rsid w:val="006C74CA"/>
    <w:rsid w:val="00701D72"/>
    <w:rsid w:val="00713769"/>
    <w:rsid w:val="007567E1"/>
    <w:rsid w:val="0079046F"/>
    <w:rsid w:val="00845FD8"/>
    <w:rsid w:val="008C74C0"/>
    <w:rsid w:val="00943818"/>
    <w:rsid w:val="00B032F8"/>
    <w:rsid w:val="00B13019"/>
    <w:rsid w:val="00B457AE"/>
    <w:rsid w:val="00B576F2"/>
    <w:rsid w:val="00B634BC"/>
    <w:rsid w:val="00BA55A2"/>
    <w:rsid w:val="00C130E7"/>
    <w:rsid w:val="00C1370D"/>
    <w:rsid w:val="00CB6FB5"/>
    <w:rsid w:val="00CC0EE5"/>
    <w:rsid w:val="00D66112"/>
    <w:rsid w:val="00D67B67"/>
    <w:rsid w:val="00EB5AF1"/>
    <w:rsid w:val="00EC1E58"/>
    <w:rsid w:val="00EE379B"/>
    <w:rsid w:val="00F02AA1"/>
    <w:rsid w:val="00F36F05"/>
    <w:rsid w:val="00F42DD8"/>
    <w:rsid w:val="00F45197"/>
    <w:rsid w:val="00F81BC5"/>
    <w:rsid w:val="6F7BB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450</Characters>
  <Lines>3</Lines>
  <Paragraphs>1</Paragraphs>
  <TotalTime>0</TotalTime>
  <ScaleCrop>false</ScaleCrop>
  <LinksUpToDate>false</LinksUpToDate>
  <CharactersWithSpaces>527</CharactersWithSpaces>
  <Application>WPS Office_1.3.0.1676_F1E327BC-269C-435d-A152-05C5408002CA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2021-03-26T11:18:00Z</dcterms:created>
  <dc:creator>hesen zhang</dc:creator>
  <cp:lastModifiedBy>whaler</cp:lastModifiedBy>
  <dcterms:modified xsi:type="dcterms:W3CDTF">2021-04-29T13:19:05Z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2052-1.3.0.1676</vt:lpwstr>
  </property>
</Properties>
</file>