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adjustRightInd w:val="0"/>
        <w:snapToGrid w:val="0"/>
        <w:spacing w:before="0" w:beforeAutospacing="0" w:after="0" w:line="560" w:lineRule="exact"/>
        <w:ind w:firstLine="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落实《实施意见》任务分工表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tbl>
      <w:tblPr>
        <w:tblStyle w:val="9"/>
        <w:tblW w:w="526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36"/>
        <w:gridCol w:w="7574"/>
        <w:gridCol w:w="3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分类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任务编号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任务内容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一、科学确定科技成果评价的对象和内容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展科技成果评价时，将科技成果分为基础研究、应用研究、技术开发和产业化三类，覆盖本市高精尖产业领域科技成果。建设完善北京市科技成果项目库，根据不同应用需求制定科技成果推广清单，推动财政性资金支持形成的非涉密科技成果信息按规定公开。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市科委、中关村管委会，市教委，市经济和信息化局，市卫生健康委，市科协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二、大力发展科技成果市场化评价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加快建设现代化高水平技术交易市场。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市金融监管局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3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加强技术经理（经纪）人队伍建设，推动科技成果转化应用。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市科委、中关村管委会，市教委，市人力资源社会保障局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市卫生健康委，市科协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三、引导规范科技成果第三方评价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发挥行业协会、学会、研究会、专业化评估机构等在科技成果评价中的作用，促进市场评价活动规范发展。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制定科技成果评价通用准则，确定具体领域的评价规范及要求。加强科技成果第三方评价机构相关管理和服务。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市科委、中关村管委会，市市场监管局，市科协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四、充分发挥金融投资在科技成果评价中的作用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725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完善科技成果评价与金融机构、投资公司的联动机制，引导相关金融机构、投资公司对科技成果潜在经济价值、市场估值、发展前景等进行商业化评价。加快完善北京科技创新基金体系，推动中国技术交易所与北京证券交易所等金融机构的对接，探索互信机制。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市金融监管局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加大对科技型企业开展知识产权质押融资的支持力度，促进知识产权融资交易。规范探索知识产权证券化。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市科委、中关村管委会，市金融监管局，市知识产权局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五、持续推进科研管理改革试点。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创新出题机制和项目组织方式，深化实施“揭榜挂帅”工作机制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深化科研经费管理改革，用好“包干制”等政策。探索建立重大成果研发过程回溯和阶段性评估机制，合理评价成果研发过程性贡献。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深入推进科研管理改革试点，加快建立科技计划成果后评估制度。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市科委、中关村管委会，市财政局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六、健全完善科技成果分类评价机制。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选取基础研究成果试点单位，突出科学价值评价，兼顾技术价值，统筹其它价值。基础研究成果推行代表作制度，以同行评议为主，主要评价是否解决重大科学问题、提出原创理论与方法、开辟新的研究领域。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市科委、中关村管委会，市教委，市卫生健康委，市科协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选取应用研究成果试点单位，以专业评价为主，侧重评价成果的技术价值，兼顾科学价值，统筹其它价值，主要评价是否突破关键核心技术、形成系统解决方案。</w:t>
            </w:r>
          </w:p>
        </w:tc>
        <w:tc>
          <w:tcPr>
            <w:tcW w:w="14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市科委、中关村管委会，市教委，市经济和信息化局，市生态环境局，市城市管理委，市交通委，市水务局，市农业农村局，市卫生健康委，市国资委，市园林绿化局，市知识产权局，市科协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4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选取技术开发和产业化成果试点单位，以用户评价、市场检验和第三方评价为主，侧重评价成果的经济价值，兼顾社会价值，统筹其它价值。</w:t>
            </w:r>
          </w:p>
        </w:tc>
        <w:tc>
          <w:tcPr>
            <w:tcW w:w="14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5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支持各类创新主体加强科技成果评价理论和方法研究，建立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集成多元化评价工具和评价机构的科技成果评价信息服务平台。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市科委、中关村管委会，市科协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引导高等院校、研发机构、医疗卫生机构建立专利申请前评估制度。完善重大科技项目知识产权管理流程。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市科委、中关村管委会，市教委，市卫生健康委，市知识产权局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七、加强科技成果评价结果运用。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聚焦“三城一区”、城市副中心、新首钢等重点区域，实施重大科技成果产业化应用示范工程，在重大项目和重点任务实施中运用评价结果。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市经济和信息化局，市卫生健康委，各区人民政府、北京经济技术开发区管委会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持续优化北京市科学技术奖励制度，完善奖励提名制。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27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培育高水平社会力量科技奖励品牌。严肃查处科技成果奖励中的科研失信、学术不端等行为。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市科委、中关村管委会，市科协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八、完善科技成果评价激励和免责机制。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27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加强对高等院校、研发机构、医疗卫生机构及国有企业的科技成果转化绩效考评引导，细化完善有利于转化的职务科技成果评估政策。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市科委、中关村管委会，市教委，市卫生健康委，市国资委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27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健全科技成果转化有关资产评估管理机制，明确国有无形资产管理的边界和红线。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市科委、中关村管委会，市财政局，市卫生健康委，市国资委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27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鼓励高等院校、科研机构、国有企业建立成果评价与转化行为负面清单，完善尽职免责规范和细则，推动成果转化相关人员按照法律法规、规章制度履职尽责，落实“三个区分开来”。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市科委、中关村管委会，市教委，市卫生健康委，市国资委</w:t>
            </w:r>
          </w:p>
        </w:tc>
      </w:tr>
    </w:tbl>
    <w:p>
      <w:pPr>
        <w:jc w:val="left"/>
        <w:rPr>
          <w:rFonts w:ascii="方正小标宋_GBK" w:hAnsi="方正小标宋_GBK" w:eastAsia="方正小标宋_GBK" w:cs="方正小标宋_GBK"/>
          <w:kern w:val="0"/>
          <w:sz w:val="15"/>
          <w:szCs w:val="15"/>
        </w:rPr>
      </w:pPr>
    </w:p>
    <w:p>
      <w:pPr>
        <w:pStyle w:val="8"/>
        <w:widowControl w:val="0"/>
        <w:adjustRightInd w:val="0"/>
        <w:snapToGrid w:val="0"/>
        <w:spacing w:before="0" w:beforeAutospacing="0" w:after="0" w:line="560" w:lineRule="exact"/>
        <w:ind w:firstLine="0"/>
        <w:rPr>
          <w:rFonts w:ascii="仿宋_GB2312" w:eastAsia="仿宋_GB2312"/>
          <w:sz w:val="32"/>
          <w:szCs w:val="32"/>
        </w:rPr>
      </w:pPr>
    </w:p>
    <w:p>
      <w:pPr>
        <w:pStyle w:val="8"/>
        <w:widowControl w:val="0"/>
        <w:spacing w:before="0" w:beforeAutospacing="0" w:after="0" w:line="560" w:lineRule="exact"/>
        <w:ind w:firstLine="0"/>
        <w:rPr>
          <w:rFonts w:ascii="仿宋_GB2312" w:eastAsia="仿宋_GB2312"/>
          <w:sz w:val="32"/>
          <w:szCs w:val="32"/>
        </w:rPr>
      </w:pPr>
    </w:p>
    <w:p>
      <w:pPr>
        <w:pStyle w:val="8"/>
        <w:widowControl w:val="0"/>
        <w:spacing w:before="0" w:beforeAutospacing="0" w:after="0" w:line="560" w:lineRule="exact"/>
        <w:ind w:firstLine="0"/>
        <w:rPr>
          <w:rFonts w:ascii="仿宋_GB2312" w:eastAsia="仿宋_GB2312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758" w:header="851" w:footer="992" w:gutter="0"/>
          <w:pgNumType w:fmt="numberInDash"/>
          <w:cols w:space="720" w:num="1"/>
          <w:docGrid w:type="lines" w:linePitch="315" w:charSpace="0"/>
        </w:sectPr>
      </w:pPr>
    </w:p>
    <w:p>
      <w:pPr>
        <w:pStyle w:val="8"/>
        <w:widowControl w:val="0"/>
        <w:spacing w:before="0" w:beforeAutospacing="0" w:after="0" w:line="560" w:lineRule="exact"/>
        <w:ind w:firstLine="0"/>
        <w:rPr>
          <w:rFonts w:ascii="仿宋_GB2312" w:eastAsia="仿宋_GB2312"/>
          <w:sz w:val="32"/>
          <w:szCs w:val="32"/>
        </w:rPr>
      </w:pPr>
    </w:p>
    <w:tbl>
      <w:tblPr>
        <w:tblStyle w:val="9"/>
        <w:tblpPr w:leftFromText="181" w:rightFromText="181" w:horzAnchor="margin" w:tblpXSpec="center" w:tblpYSpec="bottom"/>
        <w:tblW w:w="886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0"/>
        <w:gridCol w:w="31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670" w:type="dxa"/>
            <w:vAlign w:val="center"/>
          </w:tcPr>
          <w:p>
            <w:pPr>
              <w:pStyle w:val="8"/>
              <w:widowControl w:val="0"/>
              <w:spacing w:before="0" w:beforeAutospacing="0" w:after="0" w:line="560" w:lineRule="exact"/>
              <w:ind w:right="210" w:firstLine="260" w:firstLineChars="100"/>
              <w:rPr>
                <w:rFonts w:ascii="仿宋_GB2312" w:eastAsia="仿宋_GB2312"/>
                <w:spacing w:val="-10"/>
                <w:sz w:val="28"/>
                <w:szCs w:val="32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32"/>
              </w:rPr>
              <w:t>市科委、中关村管委会办公室</w:t>
            </w:r>
          </w:p>
        </w:tc>
        <w:tc>
          <w:tcPr>
            <w:tcW w:w="3190" w:type="dxa"/>
            <w:vAlign w:val="center"/>
          </w:tcPr>
          <w:p>
            <w:pPr>
              <w:pStyle w:val="8"/>
              <w:widowControl w:val="0"/>
              <w:wordWrap w:val="0"/>
              <w:spacing w:before="0" w:beforeAutospacing="0" w:after="0" w:line="560" w:lineRule="exact"/>
              <w:ind w:right="210" w:firstLine="260" w:firstLineChars="100"/>
              <w:jc w:val="right"/>
              <w:rPr>
                <w:rFonts w:ascii="仿宋_GB2312" w:eastAsia="仿宋_GB2312"/>
                <w:spacing w:val="-10"/>
                <w:sz w:val="28"/>
                <w:szCs w:val="32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7"/>
              </w:rPr>
              <w:t>2022</w:t>
            </w:r>
            <w:r>
              <w:rPr>
                <w:rFonts w:ascii="仿宋_GB2312" w:eastAsia="仿宋_GB2312"/>
                <w:spacing w:val="-10"/>
                <w:sz w:val="28"/>
                <w:szCs w:val="27"/>
              </w:rPr>
              <w:t>年</w:t>
            </w:r>
            <w:r>
              <w:rPr>
                <w:rFonts w:hint="eastAsia" w:ascii="仿宋_GB2312" w:eastAsia="仿宋_GB2312"/>
                <w:spacing w:val="-10"/>
                <w:sz w:val="28"/>
                <w:szCs w:val="27"/>
              </w:rPr>
              <w:t>9</w:t>
            </w:r>
            <w:r>
              <w:rPr>
                <w:rFonts w:ascii="仿宋_GB2312" w:eastAsia="仿宋_GB2312"/>
                <w:spacing w:val="-10"/>
                <w:sz w:val="28"/>
                <w:szCs w:val="27"/>
              </w:rPr>
              <w:t>月</w:t>
            </w:r>
            <w:r>
              <w:rPr>
                <w:rFonts w:hint="eastAsia" w:ascii="仿宋_GB2312" w:eastAsia="仿宋_GB2312"/>
                <w:spacing w:val="-10"/>
                <w:sz w:val="28"/>
                <w:szCs w:val="27"/>
              </w:rPr>
              <w:t>23</w:t>
            </w:r>
            <w:r>
              <w:rPr>
                <w:rFonts w:ascii="仿宋_GB2312" w:eastAsia="仿宋_GB2312"/>
                <w:spacing w:val="-10"/>
                <w:sz w:val="28"/>
                <w:szCs w:val="27"/>
              </w:rPr>
              <w:t>日</w:t>
            </w:r>
            <w:r>
              <w:rPr>
                <w:rFonts w:hint="eastAsia" w:ascii="仿宋_GB2312" w:eastAsia="仿宋_GB2312"/>
                <w:spacing w:val="-10"/>
                <w:sz w:val="28"/>
                <w:szCs w:val="27"/>
              </w:rPr>
              <w:t>印发</w:t>
            </w:r>
          </w:p>
        </w:tc>
      </w:tr>
    </w:tbl>
    <w:p>
      <w:pPr>
        <w:pStyle w:val="8"/>
        <w:widowControl w:val="0"/>
        <w:spacing w:before="0" w:beforeAutospacing="0" w:after="0" w:line="560" w:lineRule="exact"/>
        <w:ind w:right="210" w:firstLine="0"/>
        <w:jc w:val="center"/>
        <w:rPr>
          <w:rFonts w:ascii="仿宋_GB2312" w:eastAsia="仿宋_GB2312"/>
          <w:sz w:val="32"/>
          <w:szCs w:val="32"/>
        </w:rPr>
      </w:pPr>
    </w:p>
    <w:p/>
    <w:p/>
    <w:p>
      <w:pPr>
        <w:pStyle w:val="5"/>
      </w:pPr>
    </w:p>
    <w:p>
      <w:pPr>
        <w:pStyle w:val="5"/>
      </w:pPr>
    </w:p>
    <w:sectPr>
      <w:footerReference r:id="rId4" w:type="default"/>
      <w:pgSz w:w="11906" w:h="16838"/>
      <w:pgMar w:top="2098" w:right="1474" w:bottom="175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- 2 -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BuXPdH2wEAAMA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</w:rPr>
                      <w:t>- 2 -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- 2 -</w: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500"/>
  <w:drawingGridVerticalSpacing w:val="158"/>
  <w:displayVerticalDrawingGridEvery w:val="2"/>
  <w:characterSpacingControl w:val="compressPunctuation"/>
  <w:compat>
    <w:spaceForUL/>
    <w:balanceSingleByteDoubleByteWidth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YWY4M2MwMzFhNjc4ZjQ1YjNkYTNmNTM4MzM0NjEifQ=="/>
  </w:docVars>
  <w:rsids>
    <w:rsidRoot w:val="00D374F8"/>
    <w:rsid w:val="00062C24"/>
    <w:rsid w:val="001A2CB1"/>
    <w:rsid w:val="0027799F"/>
    <w:rsid w:val="002F5A4B"/>
    <w:rsid w:val="004F3869"/>
    <w:rsid w:val="00525E17"/>
    <w:rsid w:val="00693CE6"/>
    <w:rsid w:val="006F613F"/>
    <w:rsid w:val="007A28FE"/>
    <w:rsid w:val="008F22AA"/>
    <w:rsid w:val="00957DA9"/>
    <w:rsid w:val="00A97EE8"/>
    <w:rsid w:val="00BC07E5"/>
    <w:rsid w:val="00BC7DAE"/>
    <w:rsid w:val="00BE0149"/>
    <w:rsid w:val="00D374F8"/>
    <w:rsid w:val="00D43547"/>
    <w:rsid w:val="00F924E3"/>
    <w:rsid w:val="17EBD56E"/>
    <w:rsid w:val="184BD074"/>
    <w:rsid w:val="19DF032D"/>
    <w:rsid w:val="2373B558"/>
    <w:rsid w:val="2BEEC241"/>
    <w:rsid w:val="2E8704A3"/>
    <w:rsid w:val="2FA7A883"/>
    <w:rsid w:val="31F7E429"/>
    <w:rsid w:val="34FEF6DB"/>
    <w:rsid w:val="35774278"/>
    <w:rsid w:val="357FBAA8"/>
    <w:rsid w:val="36FE604E"/>
    <w:rsid w:val="37DECEBD"/>
    <w:rsid w:val="37EDF228"/>
    <w:rsid w:val="37F9A84E"/>
    <w:rsid w:val="3CFBB4A7"/>
    <w:rsid w:val="3DCF9690"/>
    <w:rsid w:val="3EF5008B"/>
    <w:rsid w:val="3F7F045D"/>
    <w:rsid w:val="3FDE19FC"/>
    <w:rsid w:val="3FF5EAC7"/>
    <w:rsid w:val="48EF7A15"/>
    <w:rsid w:val="597E2E97"/>
    <w:rsid w:val="5AE76F64"/>
    <w:rsid w:val="5CFD7E61"/>
    <w:rsid w:val="5D87AF58"/>
    <w:rsid w:val="5EFFE57C"/>
    <w:rsid w:val="5F72EC4F"/>
    <w:rsid w:val="5FDF9981"/>
    <w:rsid w:val="66BFD1AF"/>
    <w:rsid w:val="697B2049"/>
    <w:rsid w:val="6AFFE586"/>
    <w:rsid w:val="6E972777"/>
    <w:rsid w:val="6EBFED25"/>
    <w:rsid w:val="6EFA1C39"/>
    <w:rsid w:val="6F77F28D"/>
    <w:rsid w:val="6F971E09"/>
    <w:rsid w:val="6FFFD0E6"/>
    <w:rsid w:val="6FFFE866"/>
    <w:rsid w:val="72F7BDEE"/>
    <w:rsid w:val="73FFAFA2"/>
    <w:rsid w:val="762B1600"/>
    <w:rsid w:val="76D7A468"/>
    <w:rsid w:val="76EFFAD9"/>
    <w:rsid w:val="77770FA7"/>
    <w:rsid w:val="77D8E54D"/>
    <w:rsid w:val="77F5C777"/>
    <w:rsid w:val="77FE58E8"/>
    <w:rsid w:val="79E7B55B"/>
    <w:rsid w:val="7A7C54FD"/>
    <w:rsid w:val="7A990493"/>
    <w:rsid w:val="7AE75425"/>
    <w:rsid w:val="7B78B2BA"/>
    <w:rsid w:val="7BD15E40"/>
    <w:rsid w:val="7BD69B6E"/>
    <w:rsid w:val="7C578FF9"/>
    <w:rsid w:val="7CAF1A80"/>
    <w:rsid w:val="7CFCAD13"/>
    <w:rsid w:val="7DEDE3A8"/>
    <w:rsid w:val="7DEF1395"/>
    <w:rsid w:val="7DFBED76"/>
    <w:rsid w:val="7DFF9440"/>
    <w:rsid w:val="7E76F526"/>
    <w:rsid w:val="7E99A8F3"/>
    <w:rsid w:val="7EFAFD16"/>
    <w:rsid w:val="7F3FF1DC"/>
    <w:rsid w:val="7F7FA899"/>
    <w:rsid w:val="7F9B3BC2"/>
    <w:rsid w:val="7FBE8918"/>
    <w:rsid w:val="7FC20DD6"/>
    <w:rsid w:val="7FCFA643"/>
    <w:rsid w:val="7FD7FB57"/>
    <w:rsid w:val="7FF6EDCE"/>
    <w:rsid w:val="7FF7C878"/>
    <w:rsid w:val="7FFA1F38"/>
    <w:rsid w:val="7FFD1EDC"/>
    <w:rsid w:val="7FFD8544"/>
    <w:rsid w:val="7FFE30EA"/>
    <w:rsid w:val="9F8B6D7A"/>
    <w:rsid w:val="9FBE0684"/>
    <w:rsid w:val="9FF65F9E"/>
    <w:rsid w:val="A2FD5614"/>
    <w:rsid w:val="A2FF42EA"/>
    <w:rsid w:val="ADCF6EC4"/>
    <w:rsid w:val="AE515628"/>
    <w:rsid w:val="AEFFA00C"/>
    <w:rsid w:val="AFCFFCD4"/>
    <w:rsid w:val="AFDD129A"/>
    <w:rsid w:val="AFF7816A"/>
    <w:rsid w:val="B77DC840"/>
    <w:rsid w:val="BAFF445B"/>
    <w:rsid w:val="BE7C889B"/>
    <w:rsid w:val="BF1BE5E2"/>
    <w:rsid w:val="BF73214D"/>
    <w:rsid w:val="BFD7E386"/>
    <w:rsid w:val="BFEF64C9"/>
    <w:rsid w:val="CBFF2437"/>
    <w:rsid w:val="CF76D59F"/>
    <w:rsid w:val="D77FECA1"/>
    <w:rsid w:val="D7EB75F3"/>
    <w:rsid w:val="D7EFE7A1"/>
    <w:rsid w:val="D7FF361D"/>
    <w:rsid w:val="DC2D0289"/>
    <w:rsid w:val="DDF14734"/>
    <w:rsid w:val="DEE6EB80"/>
    <w:rsid w:val="DFFF1258"/>
    <w:rsid w:val="DFFF9C14"/>
    <w:rsid w:val="DFFFD1B6"/>
    <w:rsid w:val="E81FF23D"/>
    <w:rsid w:val="EBFD38E5"/>
    <w:rsid w:val="EBFE231B"/>
    <w:rsid w:val="EF765351"/>
    <w:rsid w:val="EFB779D5"/>
    <w:rsid w:val="EFDBA21C"/>
    <w:rsid w:val="EFF53D00"/>
    <w:rsid w:val="F3789478"/>
    <w:rsid w:val="F5F71BEE"/>
    <w:rsid w:val="F62EC1D0"/>
    <w:rsid w:val="F6F7609F"/>
    <w:rsid w:val="F6FC926F"/>
    <w:rsid w:val="F96107D8"/>
    <w:rsid w:val="F9BD2309"/>
    <w:rsid w:val="F9DB4252"/>
    <w:rsid w:val="FAFFCCE2"/>
    <w:rsid w:val="FBD716AA"/>
    <w:rsid w:val="FCE9F683"/>
    <w:rsid w:val="FD770249"/>
    <w:rsid w:val="FDBC2A03"/>
    <w:rsid w:val="FEF99242"/>
    <w:rsid w:val="FF318AC5"/>
    <w:rsid w:val="FF7FBF7C"/>
    <w:rsid w:val="FFBF5C39"/>
    <w:rsid w:val="FFDB8145"/>
    <w:rsid w:val="FFFFA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2697</Words>
  <Characters>2716</Characters>
  <Lines>50</Lines>
  <Paragraphs>14</Paragraphs>
  <TotalTime>61</TotalTime>
  <ScaleCrop>false</ScaleCrop>
  <LinksUpToDate>false</LinksUpToDate>
  <CharactersWithSpaces>2721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2021-10-28T10:53:00Z</dcterms:created>
  <dc:creator>wwc</dc:creator>
  <cp:lastModifiedBy>明天会更好</cp:lastModifiedBy>
  <cp:lastPrinted>2022-09-23T19:04:00Z</cp:lastPrinted>
  <dcterms:modified xsi:type="dcterms:W3CDTF">2022-09-27T08:31:13Z</dcterms:modified>
  <dc:title>北京市科学技术委员会、中关村科技园区管理委员会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799889597B85423BAF8230A0C37A7EDA</vt:lpwstr>
  </property>
</Properties>
</file>